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20"/>
          <w:szCs w:val="20"/>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w:t>
      </w:r>
    </w:p>
    <w:p w:rsidR="00000000" w:rsidDel="00000000" w:rsidP="00000000" w:rsidRDefault="00000000" w:rsidRPr="00000000" w14:paraId="00000005">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EDUCAȚIE TIMPURIE - ÎNVĂȚĂMÂNT PREȘCOLAR</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7">
      <w:pPr>
        <w:spacing w:after="120" w:before="280" w:lineRule="auto"/>
        <w:jc w:val="center"/>
        <w:rPr>
          <w:rFonts w:ascii="Calibri" w:cs="Calibri" w:eastAsia="Calibri" w:hAnsi="Calibri"/>
          <w:i w:val="1"/>
          <w:iCs w:val="1"/>
          <w:color w:val="595959"/>
          <w:sz w:val="8"/>
          <w:szCs w:val="8"/>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color w:val="262626"/>
                <w:sz w:val="22"/>
                <w:szCs w:val="22"/>
                <w:rtl w:val="0"/>
              </w:rPr>
              <w:t xml:space="preserve">Grădinița cu Program Prelungit "Elena Doamna" Galați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D">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E">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F">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20">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2">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3">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7">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8">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30">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în vederea supravegherii stării de sănătate a copiilor, a triajului epidemiologic zilnic și a respectării normelor de igienă specifice educației timpurii.</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Este președintele consiliului profesoral și al consiliului de administrație, în fața cărora prezintă rapoarte anuale.</w:t>
      </w: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realizează conducerea executivă a unității de învățământ și organizează întreaga activitate educațională, cu respectarea specificului educației timpurii (program normal – 5 ore pe zi de activitate cu copiii; program prelungit – 10 ore pe zi de activitate cu copiii), asigurându-se că programul zilnic al niciunui copil nu depășește 10 ore;</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organizează și este direct responsabil de aplicarea legislației în vigoare la nivelul unității de învățământ;</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managementul strategic al unității de învățământ, în colaborare cu autoritățile administrației publice locale și cu consultarea partenerilor sociali și a reprezentanților părinților/reprezentanților legali ai copiilor;</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managementul operațional al unității de învățământ și este direct responsabil de calitatea educației timpurii furnizate, inclusiv de aplicarea corectă a Curriculumului pentru educația timpurie în proiectarea și derularea activităților pe cele cinci domenii de dezvoltare a copilului;</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corelarea obiectivelor specifice unității de învățământ cu politicile și prioritățile stabilite la nivel național, județean și local;</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procesul de obținere a autorizațiilor și avizelor legale necesare funcționării unității de învățământ, inclusiv a avizelor sanitare și sanitar-veterinare specifice blocului alimentar și spațiilor destinate odihnei copiilor;</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aplicarea și respectarea normelor de sănătate și securitate în muncă, precum și a Normelor de igienă aprobate prin Ordinul ministrului sănătății, privind amenajarea sălilor de grupă, a dormitoarelor, a blocului alimentar și a grupurilor sanitare adaptate vârstei copiilor;</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urmărește limitarea expunerii copiilor la tehnologie în cadrul activităților desfășurate în unitate, conform recomandărilor Organizației Mondiale a Sănătății, potrivit art. 11 alin. (11) din ROFUIP;</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prezintă anual raportul privind calitatea educației în unitatea de învățământ, în condițiile legii, în fața structurilor și autorităților competente;</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elaborarea și implementarea proiectului de dezvoltare instituțională al grădiniței și a planurilor operaționale aferente;</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inițiază și dezvoltă parteneriate cu alte unități de învățământ, instituții, organizații neguvernamentale și parteneri comunitari, în vederea diversificării și îmbunătățirii experiențelor educaționale oferite copiilor;</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solicită structurilor reprezentative ale părinților/reprezentanților legali desemnarea reprezentanților acestora în consiliul de administrație, potrivit legii;</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în perioada vacanțelor școlare, organizarea de activități educativ-recreative pentru copiii ai căror părinți/reprezentanți legali solicită acest lucru, având în vedere caracterul de serviciu esențial al educației timpurii pentru familii și angajatori, conform ROFUIP;</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0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și susține participarea copiilor, prin intermediul activităților specifice vârstei, la proiecte, concursuri, festivaluri, activități culturale, artistice, sportive și educative.</w:t>
      </w:r>
      <w:r w:rsidDel="00000000" w:rsidR="00000000" w:rsidRPr="00000000">
        <w:rPr>
          <w:rtl w:val="0"/>
        </w:rPr>
      </w:r>
    </w:p>
    <w:p w:rsidR="00000000" w:rsidDel="00000000" w:rsidP="00000000" w:rsidRDefault="00000000" w:rsidRPr="00000000" w14:paraId="0000004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angajează personalul din unitate prin încheierea contractului individual de muncă;</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întocmește, conform legii, fișele posturilor pentru personalul din subordine;</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vacantarea posturilor, organizarea concursurilor pe post și angajarea personalului, având în vedere normarea specifică educației timpurii: un post de educatoare/educator sau profesor pentru educație timpurie la fiecare grupă cu program normal și două posturi la fiecare grupă cu program prelungit, personalul didactic normându-se pe ture, conform Legii nr. 198/2023;</w:t>
      </w: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vacantarea posturilor, organizarea concursurilor pe post și angajarea personalului;</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stabilește atribuțiile coordonatorului pentru proiecte și programe educative, precum și, după caz, ale personalului cu atribuții privind organizarea turelor la grupele cu program prelungit, în funcție de specificul unității;</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stabilește atribuțiile coordonatorului pentru proiecte și programe educative școlare și extrașcolare, în funcție de specificul unității;</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 inclusiv a acoperirii turelor la grupele cu program prelungit;</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implementarea planurilor de formare profesională a personalului didactic de predare, didactic auxiliar și administrativ, inclusiv formarea continuă specifică educației timpurii (curriculum, îngrijire, siguranța copilului);</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0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integrarea profesională a personalului didactic debutant și sprijină dezvoltarea profesională a acestuia.</w:t>
      </w:r>
      <w:r w:rsidDel="00000000" w:rsidR="00000000" w:rsidRPr="00000000">
        <w:rPr>
          <w:rtl w:val="0"/>
        </w:rPr>
      </w:r>
    </w:p>
    <w:p w:rsidR="00000000" w:rsidDel="00000000" w:rsidP="00000000" w:rsidRDefault="00000000" w:rsidRPr="00000000" w14:paraId="00000053">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în consiliul de administrație, spre aprobare, proiectul de buget și raportul de execuție bugetară;</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încadrarea în bugetul aprobat al unității de învățământ;</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se preocupă de atragerea de resurse extrabugetare, cu respectarea prevederilor legale;</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spre aprobare, cu consultarea consiliului reprezentativ al părinților, cuantumul contribuției lunare de hrană datorate de părinții/reprezentanții legali ai copiilor înscriși la grupele cu program prelungit și răspunde de gestionarea corectă a acesteia, inclusiv de restituirea sumelor plătite anticipat, la cerere scrisă, în situația retragerii copilului de la program prelungit, conform ROFUIP;</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realizarea, utilizarea, păstrarea, completarea și modernizarea bazei materiale a unității de învățământ, inclusiv a dotărilor specifice educației timpurii (mobilier adaptat vârstei, spații de joacă, dormitoare, bloc alimentar);</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integritatea și buna funcționare a bunurilor aflate în administrare;</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fundamentează necesarul de resurse materiale pentru desfășurarea în condiții de siguranță și calitate a activităților specifice educației timpurii;</w:t>
      </w: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0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urmărește asigurarea condițiilor materiale, igienico-sanitare și de siguranță corespunzătoare vârstei și nevoilor copiilor.</w:t>
      </w:r>
      <w:r w:rsidDel="00000000" w:rsidR="00000000" w:rsidRPr="00000000">
        <w:rPr>
          <w:rtl w:val="0"/>
        </w:rPr>
      </w:r>
    </w:p>
    <w:p w:rsidR="00000000" w:rsidDel="00000000" w:rsidP="00000000" w:rsidRDefault="00000000" w:rsidRPr="00000000" w14:paraId="0000005D">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w:t>
      </w: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procesul anual de înscriere/reînscriere a copiilor antepreșcolari și preșcolari, cu respectarea metodologiei-cadru de înscriere aprobate prin ordin al ministrului educației și a calendarului aferent, și răspunde de constituirea formațiunilor de studiu (grupa mică, grupa mijlocie, grupa mare) prin distribuție aleatorie, cu respectarea principiului desegregării și al combaterii oricăror forme de discriminare;</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inspectoratului școlar, spre aprobare, proiectul planului de școlarizare, avizat de consiliul de administrație, cu evidențierea distinctă a grupelor cu program normal și a celor cu program prelungit;</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spre aprobare, Regulamentul de organizare și funcționare a unității de învățământ, particularizat la specificul educației timpurii (program de funcționare, reguli privind predarea/preluarea copiilor, acces în unitate, meniuri, program de somn);</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stabilește componența formațiunilor de studiu în baza hotărârii consiliului de administrație, având în vedere organizarea, de regulă, pe grupe de vârstă omogene, fără a exclude constituirea unor grupe eterogene, potrivit prevederilor legale;</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elaborează proiectul de încadrare cu personal didactic de predare, precum și schema de personal didactic auxiliar și administrativ, ținând cont de normarea pe ture a personalului didactic la grupele cu program prelungit, și le supune, spre aprobare,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numește în baza hotărârii consiliului de administrație, coordonatorii structurilor/subunităților arondate, după caz;</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numește cadrul didactic care preia atribuțiile educatoarei/educatorului titular al grupei, în condițiile în care aceasta/acesta este indisponibil/ă pentru o perioadă de timp, din motive obiective, astfel încât să fie asigurată continuitatea supravegherii și îngrijirii copiilor pe toată durata programului, inclusiv pe timpul turelor;</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numește, în baza hotărârii consiliului de administrație, coordonatorii structurilor arondate unității de învățământ (structuri de nivel antepreșcolar/preșcolar),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stabilește, prin decizie, componența comisiilor din cadrul unității de învățământ, în baza hotărârii consiliului de administrație, inclusiv a comisiei de recepție/verificare a calității hranei livrate, acolo unde este cazul;</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comisia de întocmire a orarului/programului zilnic al grupelor și îl propune spre aprobare consiliului de administrație, cu respectarea alternanței activităților de învățare, joc, mișcare în aer liber, masă și somn/odihnă, potrivit Curriculumului pentru educația timpurie;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aprobă graficul serviciului pe unitate și graficul turelor personalului didactic și nedidactic la grupele cu program prelungit;</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spre aprobare, calendarul activităților educative ale unității de învățământ, precum și programul de activități educativ-recreative organizate pe perioada vacanțelor, la solicitarea părinților;</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aplicarea Curriculumului pentru educația timpurie și a documentelor curriculare în vigoare;</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aplicarea Curriculumului pentru educația timpurie, precum și a metodologiei privind evaluarea dezvoltării copilului;</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consemnează zilnic în condica de prezență absențele și întârzierile la orele de curs ale personalului didactic de predare și de instruire practică,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consemnează zilnic în condica de prezență absențele și întârzierile la program ale personalului didactic de predare, precum și întârzierile personalului didactic auxiliar și administrativ de la programul de lucru, inclusiv de la programul organizat pe ture;</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arhivarea documentelor oficiale și școlare, inclusiv a evidențelor privind prezența, starea de sănătate la intrarea în colectivitate și predarea/preluarea copiilor;</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întocmirea, eliberarea, reconstituirea, anularea, completarea și gestionarea documentelor de evidență privind frecventarea grădiniței de către copii (registre de evidență, fișe de prezență, fișe psihopedagogice de evaluare a dezvoltării copilului);</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aprobă vizitarea unității de învățământ de către persoane din afara unității, inclusiv de către reprezentanți ai mass-media, cu respectarea regulilor specifice de acces și de protecție a copiilor din unitățile de educație timpurie.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asigurarea, după caz, a drepturilor și facilităților sociale și educaționale prevăzute de legislația în vigoare pentru copii;</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stabilirea necesarului de sprijin financiar și a altor facilități la nivelul unității de învățământ pentru copiii proveniți din familii defavorizate, conform Legii nr. 248/2015, republicată, cu modificările și completările ulterioare;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respectarea condițiilor și a exigențelor privind normele de igienă specifice unităților de educație timpurie, de protecție și securitate în muncă, de protecție civilă și de pază contra incendiilor, în unitatea de învățământ, precum și de asigurarea securității și supravegherii permanente a copiilor pe toată durata programului;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măsurile privind prevenirea și gestionarea cazurilor de violență, abuz, neglijare, bullying, discriminare și a altor situații care pot afecta integritatea fizică sau psihică și starea de bine a copiilor;</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comunică inspectorului școlar general, în timpul cel mai scurt, orice situație de natură să afecteze procesul instructiv-educativ sau imaginea acesteia;</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0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1">
      <w:pPr>
        <w:pStyle w:val="Heading1"/>
        <w:keepNext w:val="1"/>
        <w:pBdr>
          <w:bottom w:color="b08d57" w:space="4" w:sz="8" w:val="single"/>
        </w:pBdr>
        <w:spacing w:after="280" w:before="280" w:lineRule="auto"/>
        <w:rPr>
          <w:sz w:val="4"/>
          <w:szCs w:val="4"/>
        </w:rPr>
      </w:pPr>
      <w:r w:rsidDel="00000000" w:rsidR="00000000" w:rsidRPr="00000000">
        <w:rPr>
          <w:rtl w:val="0"/>
        </w:rPr>
      </w:r>
    </w:p>
    <w:p w:rsidR="00000000" w:rsidDel="00000000" w:rsidP="00000000" w:rsidRDefault="00000000" w:rsidRPr="00000000" w14:paraId="00000082">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3">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p w:rsidR="00000000" w:rsidDel="00000000" w:rsidP="00000000" w:rsidRDefault="00000000" w:rsidRPr="00000000" w14:paraId="00000084">
      <w:pPr>
        <w:spacing w:before="500" w:lineRule="auto"/>
        <w:rPr>
          <w:sz w:val="22"/>
          <w:szCs w:val="22"/>
        </w:rPr>
      </w:pPr>
      <w:r w:rsidDel="00000000" w:rsidR="00000000" w:rsidRPr="00000000">
        <w:rPr>
          <w:rtl w:val="0"/>
        </w:rPr>
      </w:r>
    </w:p>
    <w:tbl>
      <w:tblPr>
        <w:tblStyle w:val="Table2"/>
        <w:tblW w:w="9500.0" w:type="dxa"/>
        <w:jc w:val="left"/>
        <w:tblLayout w:type="fixed"/>
        <w:tblLook w:val="0400"/>
      </w:tblPr>
      <w:tblGrid>
        <w:gridCol w:w="4750"/>
        <w:gridCol w:w="4750"/>
        <w:tblGridChange w:id="0">
          <w:tblGrid>
            <w:gridCol w:w="4750"/>
            <w:gridCol w:w="4750"/>
          </w:tblGrid>
        </w:tblGridChange>
      </w:tblGrid>
      <w:tr>
        <w:trPr>
          <w:cantSplit w:val="0"/>
          <w:tblHeader w:val="0"/>
        </w:trPr>
        <w:tc>
          <w:tcPr/>
          <w:p w:rsidR="00000000" w:rsidDel="00000000" w:rsidP="00000000" w:rsidRDefault="00000000" w:rsidRPr="00000000" w14:paraId="00000085">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6">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sectPr>
      <w:headerReference r:id="rId7" w:type="default"/>
      <w:footerReference r:id="rId8" w:type="default"/>
      <w:pgSz w:h="15840" w:w="12240" w:orient="portrait"/>
      <w:pgMar w:bottom="1134" w:top="1276" w:left="1134" w:right="1134" w:header="284"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educație timpurie – învățământ preșcolar elaborată în baza fișei–cadru a postului aprobată prin OMEC nr. 4155/2026</w:t>
    </w: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536567" cy="523919"/>
          <wp:effectExtent b="0" l="0" r="0" t="0"/>
          <wp:docPr id="30"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536567"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
    <w:lvl w:ilvl="0">
      <w:start w:val="1"/>
      <w:numFmt w:val="decimal"/>
      <w:lvlText w:val="%1."/>
      <w:lvlJc w:val="left"/>
      <w:pPr>
        <w:ind w:left="504" w:hanging="360"/>
      </w:pPr>
      <w:rPr>
        <w:rFonts w:ascii="Calibri" w:cs="Calibri" w:eastAsia="Calibri" w:hAnsi="Calibri"/>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
    <w:lvl w:ilvl="0">
      <w:start w:val="1"/>
      <w:numFmt w:val="lowerLetter"/>
      <w:lvlText w:val="%1)"/>
      <w:lvlJc w:val="left"/>
      <w:pPr>
        <w:ind w:left="720" w:hanging="360"/>
      </w:pPr>
      <w:rPr>
        <w:rFonts w:ascii="Calibri" w:cs="Calibri" w:eastAsia="Calibri" w:hAnsi="Calibri"/>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lowerLetter"/>
      <w:lvlText w:val="%1)"/>
      <w:lvlJc w:val="left"/>
      <w:pPr>
        <w:ind w:left="720" w:hanging="360"/>
      </w:pPr>
      <w:rPr>
        <w:rFonts w:ascii="Calibri" w:cs="Calibri" w:eastAsia="Calibri" w:hAnsi="Calibri"/>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lowerLetter"/>
      <w:lvlText w:val="%1)"/>
      <w:lvlJc w:val="left"/>
      <w:pPr>
        <w:ind w:left="720" w:hanging="360"/>
      </w:pPr>
      <w:rPr>
        <w:rFonts w:ascii="Calibri" w:cs="Calibri" w:eastAsia="Calibri" w:hAnsi="Calibri"/>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rFonts w:ascii="Calibri" w:cs="Calibri" w:eastAsia="Calibri" w:hAnsi="Calibri"/>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paragraph" w:styleId="isselectedend" w:customStyle="1">
    <w:name w:val="isselectedend"/>
    <w:basedOn w:val="Normal"/>
    <w:rsid w:val="00157D65"/>
    <w:pPr>
      <w:spacing w:after="100" w:afterAutospacing="1" w:before="100" w:beforeAutospacing="1"/>
    </w:pPr>
    <w:rPr>
      <w:rFonts w:eastAsia="Times New Roman"/>
      <w:lang w:eastAsia="ro-RO" w:val="ro-RO"/>
    </w:rPr>
  </w:style>
  <w:style w:type="character" w:styleId="Titlu1Caracter" w:customStyle="1">
    <w:name w:val="Titlu 1 Caracter"/>
    <w:basedOn w:val="Fontdeparagrafimplicit"/>
    <w:link w:val="Titlu1"/>
    <w:uiPriority w:val="9"/>
    <w:rsid w:val="008106A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rnPM/S3pvKzURAPCK7gDK6kq7fw==">CgMxLjA4AHIhMV9uZlNjUnB6TmZfemZ3TGpRN2FTTFVKTmFrZm5PNTVD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2026-08-13T10:39:00Z</dcterms:created>
  <dc:creator>Andronic Florin</dc:creator>
</cp:coreProperties>
</file>